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2F97" w:rsidR="005B3FE2" w:rsidRDefault="005B3FE2" w14:paraId="2CEDFF4E" w14:textId="77777777">
      <w:pPr>
        <w:pStyle w:val="BodyText"/>
        <w:spacing w:after="160"/>
        <w:jc w:val="center"/>
        <w:rPr>
          <w:b/>
          <w:szCs w:val="22"/>
        </w:rPr>
      </w:pPr>
      <w:r w:rsidRPr="00032F97">
        <w:rPr>
          <w:noProof/>
          <w:color w:val="333333"/>
          <w:szCs w:val="22"/>
        </w:rPr>
        <w:drawing>
          <wp:anchor distT="0" distB="0" distL="114300" distR="114300" simplePos="0" relativeHeight="251658240" behindDoc="0" locked="0" layoutInCell="1" allowOverlap="1" wp14:editId="2EA866B8" wp14:anchorId="09B0B6B7">
            <wp:simplePos x="0" y="0"/>
            <wp:positionH relativeFrom="column">
              <wp:posOffset>1704975</wp:posOffset>
            </wp:positionH>
            <wp:positionV relativeFrom="paragraph">
              <wp:posOffset>-354520</wp:posOffset>
            </wp:positionV>
            <wp:extent cx="2532375" cy="1000287"/>
            <wp:effectExtent l="0" t="0" r="1905" b="0"/>
            <wp:wrapNone/>
            <wp:docPr id="1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d_1" descr="Osisko Mining Inc. (CNW Group/Osisko Mining Inc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75" cy="10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E2" w:rsidP="005B3FE2" w:rsidRDefault="005B3FE2" w14:paraId="1F36D681" w14:textId="77777777">
      <w:pPr>
        <w:pStyle w:val="BodyText"/>
        <w:jc w:val="center"/>
        <w:rPr>
          <w:b/>
          <w:bCs/>
        </w:rPr>
      </w:pPr>
    </w:p>
    <w:p w:rsidR="005B3FE2" w:rsidP="005B3FE2" w:rsidRDefault="005B3FE2" w14:paraId="62D59CCA" w14:textId="77777777">
      <w:pPr>
        <w:pStyle w:val="BodyText"/>
        <w:jc w:val="center"/>
        <w:rPr>
          <w:b/>
          <w:bCs/>
        </w:rPr>
      </w:pPr>
    </w:p>
    <w:p w:rsidRPr="005B3FE2" w:rsidR="005B3FE2" w:rsidP="005B3FE2" w:rsidRDefault="005B3FE2" w14:paraId="41680C95" w14:textId="46898D66">
      <w:pPr>
        <w:pStyle w:val="BodyText"/>
        <w:spacing w:before="120"/>
        <w:jc w:val="center"/>
        <w:rPr>
          <w:b/>
          <w:bCs/>
        </w:rPr>
      </w:pPr>
      <w:r w:rsidRPr="005B3FE2">
        <w:rPr>
          <w:b/>
          <w:bCs/>
        </w:rPr>
        <w:t xml:space="preserve">SPECIAL MEETING OF SHAREHOLDERS </w:t>
      </w:r>
      <w:r w:rsidR="00093992">
        <w:rPr>
          <w:b/>
          <w:bCs/>
        </w:rPr>
        <w:br/>
      </w:r>
      <w:r w:rsidRPr="005B3FE2">
        <w:rPr>
          <w:b/>
          <w:bCs/>
        </w:rPr>
        <w:t>OF</w:t>
      </w:r>
      <w:r w:rsidRPr="005B3FE2">
        <w:rPr>
          <w:b/>
          <w:bCs/>
        </w:rPr>
        <w:br/>
        <w:t xml:space="preserve">OSISKO MINING INC. </w:t>
      </w:r>
    </w:p>
    <w:p w:rsidRPr="005B3FE2" w:rsidR="005B3FE2" w:rsidP="005B3FE2" w:rsidRDefault="005B3FE2" w14:paraId="4FB78147" w14:textId="77777777">
      <w:pPr>
        <w:pStyle w:val="BodyText"/>
        <w:jc w:val="center"/>
        <w:rPr>
          <w:b/>
          <w:bCs/>
        </w:rPr>
      </w:pPr>
      <w:r w:rsidRPr="005B3FE2">
        <w:rPr>
          <w:b/>
          <w:bCs/>
        </w:rPr>
        <w:t>October 17, 2024</w:t>
      </w:r>
    </w:p>
    <w:p w:rsidRPr="005B3FE2" w:rsidR="005B3FE2" w:rsidP="005B3FE2" w:rsidRDefault="005B3FE2" w14:paraId="4DE74FC4" w14:textId="77777777">
      <w:pPr>
        <w:pStyle w:val="BodyText"/>
        <w:jc w:val="center"/>
        <w:rPr>
          <w:b/>
          <w:bCs/>
        </w:rPr>
      </w:pPr>
      <w:r w:rsidRPr="005B3FE2">
        <w:rPr>
          <w:b/>
          <w:bCs/>
        </w:rPr>
        <w:t>REPORT OF VOTING RESULTS</w:t>
      </w:r>
    </w:p>
    <w:p w:rsidRPr="005B3FE2" w:rsidR="005B3FE2" w:rsidP="005B3FE2" w:rsidRDefault="005B3FE2" w14:paraId="3DEBFD47" w14:textId="77777777">
      <w:pPr>
        <w:pStyle w:val="BodyText"/>
        <w:spacing w:after="360"/>
        <w:jc w:val="center"/>
        <w:rPr>
          <w:b/>
          <w:bCs/>
        </w:rPr>
      </w:pPr>
      <w:r w:rsidRPr="005B3FE2">
        <w:rPr>
          <w:b/>
          <w:bCs/>
        </w:rPr>
        <w:t xml:space="preserve">National Instrument 51-102 – </w:t>
      </w:r>
      <w:r w:rsidRPr="005B3FE2">
        <w:rPr>
          <w:b/>
          <w:bCs/>
          <w:i/>
          <w:iCs/>
        </w:rPr>
        <w:t>Continuous Disclosure Obligations</w:t>
      </w:r>
      <w:r w:rsidRPr="005B3FE2">
        <w:rPr>
          <w:b/>
          <w:bCs/>
        </w:rPr>
        <w:t xml:space="preserve"> (Section 11.3)</w:t>
      </w:r>
    </w:p>
    <w:p w:rsidRPr="00FA66FD" w:rsidR="005B3FE2" w:rsidP="005B3FE2" w:rsidRDefault="005B3FE2" w14:paraId="216055ED" w14:textId="7B7F33AF">
      <w:pPr>
        <w:pStyle w:val="BodyText"/>
      </w:pPr>
      <w:r w:rsidRPr="00FA66FD">
        <w:t>This</w:t>
      </w:r>
      <w:r w:rsidRPr="00FA66FD">
        <w:rPr>
          <w:spacing w:val="-2"/>
        </w:rPr>
        <w:t xml:space="preserve"> </w:t>
      </w:r>
      <w:r w:rsidRPr="00FA66FD">
        <w:t>report is submitted</w:t>
      </w:r>
      <w:r w:rsidRPr="00FA66FD">
        <w:rPr>
          <w:spacing w:val="-1"/>
        </w:rPr>
        <w:t xml:space="preserve"> </w:t>
      </w:r>
      <w:r w:rsidRPr="00FA66FD">
        <w:t>for</w:t>
      </w:r>
      <w:r w:rsidRPr="00FA66FD">
        <w:rPr>
          <w:spacing w:val="-3"/>
        </w:rPr>
        <w:t xml:space="preserve"> </w:t>
      </w:r>
      <w:r w:rsidRPr="00FA66FD">
        <w:t>and on</w:t>
      </w:r>
      <w:r w:rsidRPr="00FA66FD">
        <w:rPr>
          <w:spacing w:val="-4"/>
        </w:rPr>
        <w:t xml:space="preserve"> </w:t>
      </w:r>
      <w:r w:rsidRPr="00FA66FD">
        <w:t>behalf</w:t>
      </w:r>
      <w:r w:rsidRPr="00FA66FD">
        <w:rPr>
          <w:spacing w:val="-3"/>
        </w:rPr>
        <w:t xml:space="preserve"> </w:t>
      </w:r>
      <w:r w:rsidRPr="00FA66FD">
        <w:t>of</w:t>
      </w:r>
      <w:r w:rsidRPr="00FA66FD">
        <w:rPr>
          <w:spacing w:val="-2"/>
        </w:rPr>
        <w:t xml:space="preserve"> </w:t>
      </w:r>
      <w:r w:rsidRPr="00FA66FD">
        <w:rPr>
          <w:bCs/>
        </w:rPr>
        <w:t>Osisko Mining Inc.</w:t>
      </w:r>
      <w:r w:rsidRPr="00FA66FD">
        <w:rPr>
          <w:b/>
          <w:spacing w:val="-2"/>
        </w:rPr>
        <w:t xml:space="preserve"> </w:t>
      </w:r>
      <w:r w:rsidRPr="00FA66FD">
        <w:t>("</w:t>
      </w:r>
      <w:r w:rsidRPr="00FA66FD">
        <w:rPr>
          <w:b/>
        </w:rPr>
        <w:t>Osisko</w:t>
      </w:r>
      <w:r w:rsidRPr="00FA66FD">
        <w:t>") pursuant</w:t>
      </w:r>
      <w:r w:rsidRPr="00FA66FD">
        <w:rPr>
          <w:spacing w:val="-2"/>
        </w:rPr>
        <w:t xml:space="preserve"> </w:t>
      </w:r>
      <w:r w:rsidRPr="00FA66FD">
        <w:t>to</w:t>
      </w:r>
      <w:r w:rsidRPr="00FA66FD">
        <w:rPr>
          <w:spacing w:val="2"/>
        </w:rPr>
        <w:t xml:space="preserve"> </w:t>
      </w:r>
      <w:r w:rsidRPr="00FA66FD">
        <w:rPr>
          <w:spacing w:val="-2"/>
        </w:rPr>
        <w:t xml:space="preserve">Section </w:t>
      </w:r>
      <w:r w:rsidRPr="00FA66FD">
        <w:t>11.3</w:t>
      </w:r>
      <w:r w:rsidRPr="00FA66FD">
        <w:rPr>
          <w:spacing w:val="-13"/>
        </w:rPr>
        <w:t xml:space="preserve"> </w:t>
      </w:r>
      <w:r w:rsidRPr="00FA66FD">
        <w:t>of</w:t>
      </w:r>
      <w:r w:rsidRPr="00FA66FD">
        <w:rPr>
          <w:spacing w:val="-12"/>
        </w:rPr>
        <w:t xml:space="preserve"> </w:t>
      </w:r>
      <w:r w:rsidRPr="00FA66FD">
        <w:t>National</w:t>
      </w:r>
      <w:r w:rsidRPr="00FA66FD">
        <w:rPr>
          <w:spacing w:val="-13"/>
        </w:rPr>
        <w:t xml:space="preserve"> </w:t>
      </w:r>
      <w:r w:rsidRPr="00FA66FD">
        <w:t>Instrument</w:t>
      </w:r>
      <w:r w:rsidRPr="00FA66FD">
        <w:rPr>
          <w:spacing w:val="-12"/>
        </w:rPr>
        <w:t xml:space="preserve"> </w:t>
      </w:r>
      <w:r w:rsidRPr="00FA66FD">
        <w:t>51-102</w:t>
      </w:r>
      <w:r w:rsidRPr="00FA66FD">
        <w:rPr>
          <w:spacing w:val="-13"/>
        </w:rPr>
        <w:t xml:space="preserve"> </w:t>
      </w:r>
      <w:r w:rsidRPr="00FA66FD">
        <w:t>–</w:t>
      </w:r>
      <w:r w:rsidRPr="00FA66FD">
        <w:rPr>
          <w:spacing w:val="-12"/>
        </w:rPr>
        <w:t xml:space="preserve"> </w:t>
      </w:r>
      <w:r w:rsidRPr="00FA66FD">
        <w:rPr>
          <w:i/>
        </w:rPr>
        <w:t>Continuous</w:t>
      </w:r>
      <w:r w:rsidRPr="00FA66FD">
        <w:rPr>
          <w:i/>
          <w:spacing w:val="-13"/>
        </w:rPr>
        <w:t xml:space="preserve"> </w:t>
      </w:r>
      <w:r w:rsidRPr="00FA66FD">
        <w:rPr>
          <w:i/>
        </w:rPr>
        <w:t>Disclosure</w:t>
      </w:r>
      <w:r w:rsidRPr="00FA66FD">
        <w:rPr>
          <w:i/>
          <w:spacing w:val="-12"/>
        </w:rPr>
        <w:t xml:space="preserve"> </w:t>
      </w:r>
      <w:r w:rsidRPr="00FA66FD">
        <w:rPr>
          <w:i/>
        </w:rPr>
        <w:t>Obligations</w:t>
      </w:r>
      <w:r w:rsidRPr="00FA66FD">
        <w:rPr>
          <w:i/>
          <w:spacing w:val="-12"/>
        </w:rPr>
        <w:t xml:space="preserve"> </w:t>
      </w:r>
      <w:r w:rsidRPr="00FA66FD">
        <w:t>and</w:t>
      </w:r>
      <w:r w:rsidRPr="00FA66FD">
        <w:rPr>
          <w:spacing w:val="-13"/>
        </w:rPr>
        <w:t xml:space="preserve"> </w:t>
      </w:r>
      <w:r w:rsidRPr="00FA66FD">
        <w:t>relates</w:t>
      </w:r>
      <w:r w:rsidRPr="00FA66FD">
        <w:rPr>
          <w:spacing w:val="-12"/>
        </w:rPr>
        <w:t xml:space="preserve"> </w:t>
      </w:r>
      <w:r w:rsidRPr="00FA66FD">
        <w:t>to</w:t>
      </w:r>
      <w:r w:rsidRPr="00FA66FD">
        <w:rPr>
          <w:spacing w:val="-13"/>
        </w:rPr>
        <w:t xml:space="preserve"> </w:t>
      </w:r>
      <w:r w:rsidRPr="00FA66FD">
        <w:t>the</w:t>
      </w:r>
      <w:r w:rsidRPr="00FA66FD">
        <w:rPr>
          <w:spacing w:val="-12"/>
        </w:rPr>
        <w:t xml:space="preserve"> </w:t>
      </w:r>
      <w:r w:rsidRPr="00FA66FD">
        <w:t>results</w:t>
      </w:r>
      <w:r w:rsidRPr="00FA66FD">
        <w:rPr>
          <w:spacing w:val="-13"/>
        </w:rPr>
        <w:t xml:space="preserve"> </w:t>
      </w:r>
      <w:r w:rsidRPr="00FA66FD">
        <w:t>of</w:t>
      </w:r>
      <w:r w:rsidRPr="00FA66FD">
        <w:rPr>
          <w:spacing w:val="-12"/>
        </w:rPr>
        <w:t xml:space="preserve"> </w:t>
      </w:r>
      <w:r w:rsidRPr="00FA66FD">
        <w:t>voting at the special meeting of the holders of common shares of Osisko (the</w:t>
      </w:r>
      <w:r w:rsidRPr="00FA66FD">
        <w:rPr>
          <w:spacing w:val="-6"/>
        </w:rPr>
        <w:t xml:space="preserve"> </w:t>
      </w:r>
      <w:r w:rsidRPr="00FA66FD">
        <w:t>"</w:t>
      </w:r>
      <w:r w:rsidRPr="00FA66FD">
        <w:rPr>
          <w:b/>
        </w:rPr>
        <w:t>Shareholders</w:t>
      </w:r>
      <w:r w:rsidRPr="00FA66FD">
        <w:t>")</w:t>
      </w:r>
      <w:r w:rsidRPr="00FA66FD">
        <w:rPr>
          <w:spacing w:val="-6"/>
        </w:rPr>
        <w:t xml:space="preserve"> </w:t>
      </w:r>
      <w:r w:rsidRPr="00FA66FD">
        <w:t>held</w:t>
      </w:r>
      <w:r w:rsidRPr="00FA66FD">
        <w:rPr>
          <w:spacing w:val="-10"/>
        </w:rPr>
        <w:t xml:space="preserve"> </w:t>
      </w:r>
      <w:r w:rsidRPr="00FA66FD">
        <w:t>on</w:t>
      </w:r>
      <w:r w:rsidRPr="00FA66FD">
        <w:rPr>
          <w:spacing w:val="-7"/>
        </w:rPr>
        <w:t xml:space="preserve"> </w:t>
      </w:r>
      <w:r w:rsidRPr="00FA66FD">
        <w:t>October 17,</w:t>
      </w:r>
      <w:r w:rsidRPr="00FA66FD">
        <w:rPr>
          <w:spacing w:val="-6"/>
        </w:rPr>
        <w:t xml:space="preserve"> </w:t>
      </w:r>
      <w:r w:rsidRPr="00FA66FD">
        <w:t>2024</w:t>
      </w:r>
      <w:r w:rsidR="00D117DA">
        <w:t xml:space="preserve"> at the Offices of Bennett Jones LLP </w:t>
      </w:r>
      <w:r w:rsidRPr="00FA66FD" w:rsidR="00093992">
        <w:t>(the "</w:t>
      </w:r>
      <w:r w:rsidRPr="00FA66FD" w:rsidR="00093992">
        <w:rPr>
          <w:b/>
        </w:rPr>
        <w:t>Meeting</w:t>
      </w:r>
      <w:r w:rsidRPr="00FA66FD" w:rsidR="00093992">
        <w:t>")</w:t>
      </w:r>
      <w:r w:rsidRPr="00FA66FD">
        <w:t>.</w:t>
      </w:r>
    </w:p>
    <w:p w:rsidRPr="00FA66FD" w:rsidR="005B3FE2" w:rsidP="005B3FE2" w:rsidRDefault="005B3FE2" w14:paraId="07CD235E" w14:textId="41A98F2C">
      <w:pPr>
        <w:pStyle w:val="BodyText"/>
      </w:pPr>
      <w:r w:rsidRPr="00FA66FD">
        <w:t>According to the scrutineers' report</w:t>
      </w:r>
      <w:r w:rsidR="00EF515A">
        <w:t>,</w:t>
      </w:r>
      <w:r w:rsidRPr="00FA66FD">
        <w:t xml:space="preserve"> (i) </w:t>
      </w:r>
      <w:r w:rsidR="00462D8F">
        <w:t>241,670,665</w:t>
      </w:r>
      <w:r w:rsidRPr="00FA66FD">
        <w:t xml:space="preserve"> common shares of Osisko (or approximately </w:t>
      </w:r>
      <w:r w:rsidR="00462D8F">
        <w:t>63.3</w:t>
      </w:r>
      <w:r w:rsidR="009A1915">
        <w:t>1</w:t>
      </w:r>
      <w:r w:rsidRPr="00FA66FD">
        <w:t xml:space="preserve">% of the </w:t>
      </w:r>
      <w:r w:rsidR="00462D8F">
        <w:t>381,723,275</w:t>
      </w:r>
      <w:r w:rsidRPr="00FA66FD">
        <w:t xml:space="preserve"> common shares of Osisko outstanding as of the record date for the Meeting) were present or represented by proxy at the Meeting.</w:t>
      </w:r>
    </w:p>
    <w:p w:rsidRPr="00FA66FD" w:rsidR="005B3FE2" w:rsidP="005B3FE2" w:rsidRDefault="005B3FE2" w14:paraId="63D27E73" w14:textId="77777777">
      <w:pPr>
        <w:pStyle w:val="Heading2"/>
      </w:pPr>
      <w:r w:rsidRPr="00FA66FD">
        <w:t>Approval</w:t>
      </w:r>
      <w:r w:rsidRPr="00FA66FD">
        <w:rPr>
          <w:spacing w:val="-4"/>
        </w:rPr>
        <w:t xml:space="preserve"> </w:t>
      </w:r>
      <w:r w:rsidRPr="00FA66FD">
        <w:t>of</w:t>
      </w:r>
      <w:r w:rsidRPr="00FA66FD">
        <w:rPr>
          <w:spacing w:val="-6"/>
        </w:rPr>
        <w:t xml:space="preserve"> </w:t>
      </w:r>
      <w:r w:rsidRPr="00FA66FD">
        <w:t>the</w:t>
      </w:r>
      <w:r w:rsidRPr="00FA66FD">
        <w:rPr>
          <w:spacing w:val="-5"/>
        </w:rPr>
        <w:t xml:space="preserve"> </w:t>
      </w:r>
      <w:r w:rsidRPr="00FA66FD">
        <w:t>Arrangement</w:t>
      </w:r>
      <w:r w:rsidRPr="00FA66FD">
        <w:rPr>
          <w:spacing w:val="-4"/>
        </w:rPr>
        <w:t xml:space="preserve"> </w:t>
      </w:r>
      <w:r w:rsidRPr="00FA66FD">
        <w:rPr>
          <w:spacing w:val="-2"/>
        </w:rPr>
        <w:t>Resolution</w:t>
      </w:r>
    </w:p>
    <w:p w:rsidRPr="00FA66FD" w:rsidR="005B3FE2" w:rsidP="005B3FE2" w:rsidRDefault="005B3FE2" w14:paraId="1D49EF8D" w14:textId="01B8DB83">
      <w:pPr>
        <w:pStyle w:val="BodyText"/>
      </w:pPr>
      <w:r w:rsidRPr="00FA66FD">
        <w:t>The Arrangement Resolution (as defined in the management information circular of Osisko dated September 6, 2024) required the affirmative vote of at least (i) two-thirds of the votes cast by the Shareholders</w:t>
      </w:r>
      <w:r w:rsidRPr="00FA66FD">
        <w:rPr>
          <w:spacing w:val="-1"/>
        </w:rPr>
        <w:t xml:space="preserve"> </w:t>
      </w:r>
      <w:r w:rsidRPr="00FA66FD">
        <w:t>present or</w:t>
      </w:r>
      <w:r w:rsidRPr="00FA66FD">
        <w:rPr>
          <w:spacing w:val="-1"/>
        </w:rPr>
        <w:t xml:space="preserve"> </w:t>
      </w:r>
      <w:r w:rsidRPr="00FA66FD">
        <w:t>represented</w:t>
      </w:r>
      <w:r w:rsidRPr="00FA66FD">
        <w:rPr>
          <w:spacing w:val="-2"/>
        </w:rPr>
        <w:t xml:space="preserve"> </w:t>
      </w:r>
      <w:r w:rsidRPr="00FA66FD">
        <w:t>by proxy at the</w:t>
      </w:r>
      <w:r w:rsidRPr="00FA66FD">
        <w:rPr>
          <w:spacing w:val="-3"/>
        </w:rPr>
        <w:t xml:space="preserve"> </w:t>
      </w:r>
      <w:r w:rsidRPr="00FA66FD">
        <w:t>Meeting,</w:t>
      </w:r>
      <w:r w:rsidRPr="00FA66FD">
        <w:rPr>
          <w:spacing w:val="-1"/>
        </w:rPr>
        <w:t xml:space="preserve"> </w:t>
      </w:r>
      <w:r w:rsidRPr="00FA66FD">
        <w:t>and</w:t>
      </w:r>
      <w:r w:rsidRPr="00FA66FD">
        <w:rPr>
          <w:spacing w:val="-2"/>
        </w:rPr>
        <w:t xml:space="preserve"> </w:t>
      </w:r>
      <w:r w:rsidRPr="00FA66FD">
        <w:t>(ii) a</w:t>
      </w:r>
      <w:r w:rsidRPr="00FA66FD">
        <w:rPr>
          <w:spacing w:val="-1"/>
        </w:rPr>
        <w:t xml:space="preserve"> </w:t>
      </w:r>
      <w:r w:rsidRPr="00FA66FD">
        <w:t>simple</w:t>
      </w:r>
      <w:r w:rsidRPr="00FA66FD">
        <w:rPr>
          <w:spacing w:val="-3"/>
        </w:rPr>
        <w:t xml:space="preserve"> </w:t>
      </w:r>
      <w:r w:rsidRPr="00FA66FD">
        <w:t>majority</w:t>
      </w:r>
      <w:r w:rsidRPr="00FA66FD">
        <w:rPr>
          <w:spacing w:val="-2"/>
        </w:rPr>
        <w:t xml:space="preserve"> </w:t>
      </w:r>
      <w:r w:rsidRPr="00FA66FD">
        <w:t>of</w:t>
      </w:r>
      <w:r w:rsidRPr="00FA66FD">
        <w:rPr>
          <w:spacing w:val="-1"/>
        </w:rPr>
        <w:t xml:space="preserve"> </w:t>
      </w:r>
      <w:r w:rsidRPr="00FA66FD">
        <w:t>the</w:t>
      </w:r>
      <w:r w:rsidRPr="00FA66FD">
        <w:rPr>
          <w:spacing w:val="-3"/>
        </w:rPr>
        <w:t xml:space="preserve"> </w:t>
      </w:r>
      <w:r w:rsidRPr="00FA66FD">
        <w:t>votes</w:t>
      </w:r>
      <w:r w:rsidRPr="00FA66FD">
        <w:rPr>
          <w:spacing w:val="-1"/>
        </w:rPr>
        <w:t xml:space="preserve"> </w:t>
      </w:r>
      <w:r w:rsidRPr="00FA66FD">
        <w:t xml:space="preserve">cast by the minority Shareholders present or represented by proxy at the Meeting excluding the common shares of </w:t>
      </w:r>
      <w:r w:rsidR="00EF515A">
        <w:t>Osisko</w:t>
      </w:r>
      <w:r w:rsidRPr="00FA66FD">
        <w:t xml:space="preserve"> required to be excluded pursuant to Multilateral Instrument 61-101 – </w:t>
      </w:r>
      <w:r w:rsidRPr="00FA66FD">
        <w:rPr>
          <w:i/>
        </w:rPr>
        <w:t>Protection</w:t>
      </w:r>
      <w:r w:rsidRPr="00FA66FD">
        <w:rPr>
          <w:i/>
          <w:spacing w:val="-7"/>
        </w:rPr>
        <w:t xml:space="preserve"> </w:t>
      </w:r>
      <w:r w:rsidRPr="00FA66FD">
        <w:rPr>
          <w:i/>
        </w:rPr>
        <w:t>of</w:t>
      </w:r>
      <w:r w:rsidRPr="00FA66FD">
        <w:rPr>
          <w:i/>
          <w:spacing w:val="-9"/>
        </w:rPr>
        <w:t xml:space="preserve"> </w:t>
      </w:r>
      <w:r w:rsidRPr="00FA66FD">
        <w:rPr>
          <w:i/>
        </w:rPr>
        <w:t>Minority</w:t>
      </w:r>
      <w:r w:rsidRPr="00FA66FD">
        <w:rPr>
          <w:i/>
          <w:spacing w:val="-9"/>
        </w:rPr>
        <w:t xml:space="preserve"> </w:t>
      </w:r>
      <w:r w:rsidRPr="00FA66FD">
        <w:rPr>
          <w:i/>
        </w:rPr>
        <w:t>Security</w:t>
      </w:r>
      <w:r w:rsidRPr="00FA66FD">
        <w:rPr>
          <w:i/>
          <w:spacing w:val="-7"/>
        </w:rPr>
        <w:t xml:space="preserve"> </w:t>
      </w:r>
      <w:r w:rsidRPr="00FA66FD">
        <w:rPr>
          <w:i/>
        </w:rPr>
        <w:t>Holders</w:t>
      </w:r>
      <w:r w:rsidRPr="00FA66FD">
        <w:rPr>
          <w:i/>
          <w:spacing w:val="-6"/>
        </w:rPr>
        <w:t xml:space="preserve"> </w:t>
      </w:r>
      <w:r w:rsidRPr="00FA66FD">
        <w:rPr>
          <w:i/>
        </w:rPr>
        <w:t>in</w:t>
      </w:r>
      <w:r w:rsidRPr="00FA66FD">
        <w:rPr>
          <w:i/>
          <w:spacing w:val="-10"/>
        </w:rPr>
        <w:t xml:space="preserve"> </w:t>
      </w:r>
      <w:r w:rsidRPr="00FA66FD">
        <w:rPr>
          <w:i/>
        </w:rPr>
        <w:t>Special</w:t>
      </w:r>
      <w:r w:rsidRPr="00FA66FD">
        <w:rPr>
          <w:i/>
          <w:spacing w:val="-7"/>
        </w:rPr>
        <w:t xml:space="preserve"> </w:t>
      </w:r>
      <w:r w:rsidRPr="00FA66FD">
        <w:rPr>
          <w:i/>
        </w:rPr>
        <w:t>Transactions</w:t>
      </w:r>
      <w:r w:rsidRPr="00FA66FD">
        <w:rPr>
          <w:i/>
          <w:spacing w:val="-7"/>
        </w:rPr>
        <w:t xml:space="preserve"> </w:t>
      </w:r>
      <w:r w:rsidRPr="00FA66FD">
        <w:t>(being</w:t>
      </w:r>
      <w:r w:rsidRPr="00FA66FD">
        <w:rPr>
          <w:spacing w:val="-7"/>
        </w:rPr>
        <w:t xml:space="preserve"> </w:t>
      </w:r>
      <w:r w:rsidRPr="00FA66FD">
        <w:t>the</w:t>
      </w:r>
      <w:r w:rsidRPr="00FA66FD">
        <w:rPr>
          <w:spacing w:val="-8"/>
        </w:rPr>
        <w:t xml:space="preserve"> </w:t>
      </w:r>
      <w:r w:rsidRPr="00FA66FD">
        <w:t>common</w:t>
      </w:r>
      <w:r w:rsidRPr="00FA66FD">
        <w:rPr>
          <w:spacing w:val="-10"/>
        </w:rPr>
        <w:t xml:space="preserve"> </w:t>
      </w:r>
      <w:r w:rsidRPr="00FA66FD">
        <w:t>shares</w:t>
      </w:r>
      <w:r w:rsidRPr="00FA66FD">
        <w:rPr>
          <w:spacing w:val="-9"/>
        </w:rPr>
        <w:t xml:space="preserve"> </w:t>
      </w:r>
      <w:r w:rsidRPr="00FA66FD">
        <w:t>of</w:t>
      </w:r>
      <w:r w:rsidRPr="00FA66FD">
        <w:rPr>
          <w:spacing w:val="-9"/>
        </w:rPr>
        <w:t xml:space="preserve"> </w:t>
      </w:r>
      <w:r w:rsidRPr="00FA66FD">
        <w:t>Osisko held by Mr.</w:t>
      </w:r>
      <w:r>
        <w:t> </w:t>
      </w:r>
      <w:r w:rsidRPr="00FA66FD">
        <w:t>Vizquerra-Benavides).</w:t>
      </w:r>
    </w:p>
    <w:p w:rsidR="005B3FE2" w:rsidP="005B3FE2" w:rsidRDefault="005B3FE2" w14:paraId="3877ABAC" w14:textId="6E82BDB7">
      <w:pPr>
        <w:pStyle w:val="BodyText"/>
        <w:rPr>
          <w:spacing w:val="-2"/>
        </w:rPr>
      </w:pPr>
      <w:r w:rsidRPr="00FA66FD">
        <w:t>The</w:t>
      </w:r>
      <w:r w:rsidRPr="00FA66FD">
        <w:rPr>
          <w:spacing w:val="-5"/>
        </w:rPr>
        <w:t xml:space="preserve"> </w:t>
      </w:r>
      <w:r w:rsidRPr="00FA66FD">
        <w:t>votes</w:t>
      </w:r>
      <w:r w:rsidRPr="00FA66FD">
        <w:rPr>
          <w:spacing w:val="-3"/>
        </w:rPr>
        <w:t xml:space="preserve"> </w:t>
      </w:r>
      <w:r w:rsidRPr="00FA66FD">
        <w:t>cast</w:t>
      </w:r>
      <w:r w:rsidRPr="00FA66FD">
        <w:rPr>
          <w:spacing w:val="-5"/>
        </w:rPr>
        <w:t xml:space="preserve"> </w:t>
      </w:r>
      <w:r w:rsidRPr="00FA66FD">
        <w:t>on</w:t>
      </w:r>
      <w:r w:rsidRPr="00FA66FD">
        <w:rPr>
          <w:spacing w:val="-4"/>
        </w:rPr>
        <w:t xml:space="preserve"> </w:t>
      </w:r>
      <w:r w:rsidRPr="00FA66FD">
        <w:t>the</w:t>
      </w:r>
      <w:r w:rsidRPr="00FA66FD">
        <w:rPr>
          <w:spacing w:val="-5"/>
        </w:rPr>
        <w:t xml:space="preserve"> </w:t>
      </w:r>
      <w:r w:rsidRPr="00FA66FD">
        <w:t>Arrangement</w:t>
      </w:r>
      <w:r w:rsidRPr="00FA66FD">
        <w:rPr>
          <w:spacing w:val="-2"/>
        </w:rPr>
        <w:t xml:space="preserve"> </w:t>
      </w:r>
      <w:r w:rsidRPr="00FA66FD">
        <w:t>Resolution</w:t>
      </w:r>
      <w:r w:rsidR="00093992">
        <w:t>, recorded by ballot,</w:t>
      </w:r>
      <w:r w:rsidRPr="00FA66FD">
        <w:rPr>
          <w:spacing w:val="-4"/>
        </w:rPr>
        <w:t xml:space="preserve"> </w:t>
      </w:r>
      <w:r w:rsidRPr="00FA66FD">
        <w:t>were</w:t>
      </w:r>
      <w:r w:rsidRPr="00FA66FD">
        <w:rPr>
          <w:spacing w:val="-5"/>
        </w:rPr>
        <w:t xml:space="preserve"> </w:t>
      </w:r>
      <w:r w:rsidRPr="00FA66FD">
        <w:t>as</w:t>
      </w:r>
      <w:r w:rsidRPr="00FA66FD">
        <w:rPr>
          <w:spacing w:val="-5"/>
        </w:rPr>
        <w:t xml:space="preserve"> </w:t>
      </w:r>
      <w:r w:rsidRPr="00FA66FD">
        <w:rPr>
          <w:spacing w:val="-2"/>
        </w:rPr>
        <w:t>follows: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237"/>
        <w:gridCol w:w="1238"/>
        <w:gridCol w:w="1237"/>
        <w:gridCol w:w="1238"/>
        <w:gridCol w:w="1795"/>
      </w:tblGrid>
      <w:tr w:rsidRPr="005B3FE2" w:rsidR="005B3FE2" w:rsidTr="005B3FE2" w14:paraId="32E217B3" w14:textId="77777777">
        <w:trPr>
          <w:tblHeader/>
        </w:trPr>
        <w:tc>
          <w:tcPr>
            <w:tcW w:w="2605" w:type="dxa"/>
            <w:vMerge w:val="restart"/>
            <w:shd w:val="clear" w:color="auto" w:fill="EDEBE0"/>
            <w:vAlign w:val="center"/>
          </w:tcPr>
          <w:p w:rsidRPr="005B3FE2" w:rsidR="005B3FE2" w:rsidP="005B3FE2" w:rsidRDefault="005B3FE2" w14:paraId="69767198" w14:textId="77777777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Matters Voted Upon</w:t>
            </w:r>
          </w:p>
        </w:tc>
        <w:tc>
          <w:tcPr>
            <w:tcW w:w="2475" w:type="dxa"/>
            <w:gridSpan w:val="2"/>
            <w:shd w:val="clear" w:color="auto" w:fill="EDEBE0"/>
          </w:tcPr>
          <w:p w:rsidRPr="005B3FE2" w:rsidR="005B3FE2" w:rsidP="005B3FE2" w:rsidRDefault="005B3FE2" w14:paraId="53B074D0" w14:textId="60AB8C25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Votes For</w:t>
            </w:r>
          </w:p>
        </w:tc>
        <w:tc>
          <w:tcPr>
            <w:tcW w:w="2475" w:type="dxa"/>
            <w:gridSpan w:val="2"/>
            <w:shd w:val="clear" w:color="auto" w:fill="EDEBE0"/>
          </w:tcPr>
          <w:p w:rsidRPr="005B3FE2" w:rsidR="005B3FE2" w:rsidP="005B3FE2" w:rsidRDefault="005B3FE2" w14:paraId="0B3218A5" w14:textId="4766268C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Votes Against</w:t>
            </w:r>
          </w:p>
        </w:tc>
        <w:tc>
          <w:tcPr>
            <w:tcW w:w="1795" w:type="dxa"/>
            <w:vMerge w:val="restart"/>
            <w:shd w:val="clear" w:color="auto" w:fill="EDEBE0"/>
            <w:vAlign w:val="center"/>
          </w:tcPr>
          <w:p w:rsidRPr="005B3FE2" w:rsidR="005B3FE2" w:rsidP="005B3FE2" w:rsidRDefault="005B3FE2" w14:paraId="1BE81E60" w14:textId="73393968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Outcome of Vote</w:t>
            </w:r>
          </w:p>
        </w:tc>
      </w:tr>
      <w:tr w:rsidRPr="005B3FE2" w:rsidR="005B3FE2" w:rsidTr="005B3FE2" w14:paraId="39002094" w14:textId="77777777">
        <w:trPr>
          <w:tblHeader/>
        </w:trPr>
        <w:tc>
          <w:tcPr>
            <w:tcW w:w="2605" w:type="dxa"/>
            <w:vMerge/>
            <w:shd w:val="clear" w:color="auto" w:fill="EDEBE0"/>
          </w:tcPr>
          <w:p w:rsidRPr="005B3FE2" w:rsidR="005B3FE2" w:rsidP="005B3FE2" w:rsidRDefault="005B3FE2" w14:paraId="78D40D3B" w14:textId="77777777">
            <w:pPr>
              <w:pStyle w:val="BodyText"/>
              <w:spacing w:before="60" w:after="60"/>
              <w:rPr>
                <w:b/>
                <w:bCs/>
                <w:spacing w:val="-2"/>
                <w:sz w:val="20"/>
                <w:szCs w:val="22"/>
              </w:rPr>
            </w:pPr>
          </w:p>
        </w:tc>
        <w:tc>
          <w:tcPr>
            <w:tcW w:w="1237" w:type="dxa"/>
            <w:shd w:val="clear" w:color="auto" w:fill="EDEBE0"/>
          </w:tcPr>
          <w:p w:rsidRPr="005B3FE2" w:rsidR="005B3FE2" w:rsidP="005B3FE2" w:rsidRDefault="005B3FE2" w14:paraId="7A0C8625" w14:textId="77777777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#</w:t>
            </w:r>
          </w:p>
        </w:tc>
        <w:tc>
          <w:tcPr>
            <w:tcW w:w="1238" w:type="dxa"/>
            <w:shd w:val="clear" w:color="auto" w:fill="EDEBE0"/>
          </w:tcPr>
          <w:p w:rsidRPr="005B3FE2" w:rsidR="005B3FE2" w:rsidP="005B3FE2" w:rsidRDefault="005B3FE2" w14:paraId="4D832111" w14:textId="77777777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%</w:t>
            </w:r>
          </w:p>
        </w:tc>
        <w:tc>
          <w:tcPr>
            <w:tcW w:w="1237" w:type="dxa"/>
            <w:shd w:val="clear" w:color="auto" w:fill="EDEBE0"/>
          </w:tcPr>
          <w:p w:rsidRPr="005B3FE2" w:rsidR="005B3FE2" w:rsidP="005B3FE2" w:rsidRDefault="005B3FE2" w14:paraId="3A986B1C" w14:textId="77777777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#</w:t>
            </w:r>
          </w:p>
        </w:tc>
        <w:tc>
          <w:tcPr>
            <w:tcW w:w="1238" w:type="dxa"/>
            <w:shd w:val="clear" w:color="auto" w:fill="EDEBE0"/>
          </w:tcPr>
          <w:p w:rsidRPr="005B3FE2" w:rsidR="005B3FE2" w:rsidP="005B3FE2" w:rsidRDefault="005B3FE2" w14:paraId="0451D429" w14:textId="77777777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%</w:t>
            </w:r>
          </w:p>
        </w:tc>
        <w:tc>
          <w:tcPr>
            <w:tcW w:w="1795" w:type="dxa"/>
            <w:vMerge/>
            <w:shd w:val="clear" w:color="auto" w:fill="EDEBE0"/>
          </w:tcPr>
          <w:p w:rsidRPr="005B3FE2" w:rsidR="005B3FE2" w:rsidP="005B3FE2" w:rsidRDefault="005B3FE2" w14:paraId="5244EB35" w14:textId="77777777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</w:p>
        </w:tc>
      </w:tr>
      <w:tr w:rsidRPr="005B3FE2" w:rsidR="005B3FE2" w:rsidTr="005B3FE2" w14:paraId="0587FF72" w14:textId="77777777">
        <w:tc>
          <w:tcPr>
            <w:tcW w:w="2605" w:type="dxa"/>
          </w:tcPr>
          <w:p w:rsidRPr="005B3FE2" w:rsidR="005B3FE2" w:rsidP="005B3FE2" w:rsidRDefault="005B3FE2" w14:paraId="4D31E715" w14:textId="56DF0127">
            <w:pPr>
              <w:pStyle w:val="BodyText"/>
              <w:spacing w:before="60" w:after="60"/>
              <w:jc w:val="left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>Arrangement Resolution –</w:t>
            </w:r>
            <w:r w:rsidRPr="005B3FE2">
              <w:rPr>
                <w:b/>
                <w:bCs/>
                <w:i/>
                <w:iCs/>
                <w:spacing w:val="-2"/>
                <w:sz w:val="20"/>
                <w:szCs w:val="22"/>
              </w:rPr>
              <w:t>Two-Thirds Approval</w:t>
            </w:r>
          </w:p>
        </w:tc>
        <w:tc>
          <w:tcPr>
            <w:tcW w:w="1237" w:type="dxa"/>
          </w:tcPr>
          <w:p w:rsidRPr="005B3FE2" w:rsidR="005B3FE2" w:rsidP="005B3FE2" w:rsidRDefault="00462D8F" w14:paraId="0E7B0239" w14:textId="27FBC240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240,574,061</w:t>
            </w:r>
          </w:p>
        </w:tc>
        <w:tc>
          <w:tcPr>
            <w:tcW w:w="1238" w:type="dxa"/>
          </w:tcPr>
          <w:p w:rsidRPr="005B3FE2" w:rsidR="005B3FE2" w:rsidP="005B3FE2" w:rsidRDefault="00462D8F" w14:paraId="20110646" w14:textId="488615B9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99.5</w:t>
            </w:r>
            <w:r w:rsidR="006E5694">
              <w:rPr>
                <w:spacing w:val="-2"/>
                <w:sz w:val="20"/>
                <w:szCs w:val="22"/>
              </w:rPr>
              <w:t>46</w:t>
            </w:r>
            <w:r w:rsidRPr="005B3FE2" w:rsidR="005B3FE2">
              <w:rPr>
                <w:spacing w:val="-2"/>
                <w:sz w:val="20"/>
                <w:szCs w:val="22"/>
              </w:rPr>
              <w:t>%</w:t>
            </w:r>
          </w:p>
        </w:tc>
        <w:tc>
          <w:tcPr>
            <w:tcW w:w="1237" w:type="dxa"/>
          </w:tcPr>
          <w:p w:rsidRPr="005B3FE2" w:rsidR="005B3FE2" w:rsidP="005B3FE2" w:rsidRDefault="00462D8F" w14:paraId="482A5C6F" w14:textId="63EB4F58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1,096,604</w:t>
            </w:r>
          </w:p>
        </w:tc>
        <w:tc>
          <w:tcPr>
            <w:tcW w:w="1238" w:type="dxa"/>
          </w:tcPr>
          <w:p w:rsidRPr="005B3FE2" w:rsidR="005B3FE2" w:rsidP="005B3FE2" w:rsidRDefault="00462D8F" w14:paraId="1C28E039" w14:textId="5AFC2A4E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0.45</w:t>
            </w:r>
            <w:r w:rsidR="006E5694">
              <w:rPr>
                <w:spacing w:val="-2"/>
                <w:sz w:val="20"/>
                <w:szCs w:val="22"/>
              </w:rPr>
              <w:t>4</w:t>
            </w:r>
            <w:r w:rsidRPr="005B3FE2" w:rsidR="005B3FE2">
              <w:rPr>
                <w:spacing w:val="-2"/>
                <w:sz w:val="20"/>
                <w:szCs w:val="22"/>
              </w:rPr>
              <w:t>%</w:t>
            </w:r>
          </w:p>
        </w:tc>
        <w:tc>
          <w:tcPr>
            <w:tcW w:w="1795" w:type="dxa"/>
          </w:tcPr>
          <w:p w:rsidRPr="005B3FE2" w:rsidR="005B3FE2" w:rsidP="005B3FE2" w:rsidRDefault="005B3FE2" w14:paraId="672EB2A3" w14:textId="7A817A62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093992">
              <w:rPr>
                <w:spacing w:val="-2"/>
                <w:sz w:val="20"/>
                <w:szCs w:val="22"/>
              </w:rPr>
              <w:t>Carried</w:t>
            </w:r>
          </w:p>
        </w:tc>
      </w:tr>
      <w:tr w:rsidRPr="005B3FE2" w:rsidR="005B3FE2" w:rsidTr="005B3FE2" w14:paraId="408260AE" w14:textId="77777777">
        <w:tc>
          <w:tcPr>
            <w:tcW w:w="2605" w:type="dxa"/>
          </w:tcPr>
          <w:p w:rsidRPr="005B3FE2" w:rsidR="005B3FE2" w:rsidP="005B3FE2" w:rsidRDefault="005B3FE2" w14:paraId="4D5F5EED" w14:textId="77777777">
            <w:pPr>
              <w:pStyle w:val="BodyText"/>
              <w:spacing w:before="60" w:after="60"/>
              <w:jc w:val="left"/>
              <w:rPr>
                <w:b/>
                <w:bCs/>
                <w:spacing w:val="-2"/>
                <w:sz w:val="20"/>
                <w:szCs w:val="22"/>
              </w:rPr>
            </w:pPr>
            <w:r w:rsidRPr="005B3FE2">
              <w:rPr>
                <w:b/>
                <w:bCs/>
                <w:spacing w:val="-2"/>
                <w:sz w:val="20"/>
                <w:szCs w:val="22"/>
              </w:rPr>
              <w:t xml:space="preserve">Arrangement Resolution – </w:t>
            </w:r>
            <w:r w:rsidRPr="005B3FE2">
              <w:rPr>
                <w:b/>
                <w:bCs/>
                <w:i/>
                <w:iCs/>
                <w:spacing w:val="-2"/>
                <w:sz w:val="20"/>
                <w:szCs w:val="22"/>
              </w:rPr>
              <w:t>Majority of Minority Approval</w:t>
            </w:r>
            <w:r w:rsidRPr="005B3FE2">
              <w:rPr>
                <w:b/>
                <w:bCs/>
                <w:spacing w:val="-2"/>
                <w:sz w:val="20"/>
                <w:szCs w:val="22"/>
                <w:vertAlign w:val="superscript"/>
              </w:rPr>
              <w:t>(1)</w:t>
            </w:r>
          </w:p>
        </w:tc>
        <w:tc>
          <w:tcPr>
            <w:tcW w:w="1237" w:type="dxa"/>
          </w:tcPr>
          <w:p w:rsidRPr="005B3FE2" w:rsidR="005B3FE2" w:rsidP="005B3FE2" w:rsidRDefault="00462D8F" w14:paraId="5EC991DF" w14:textId="2307B0FE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236,821,415</w:t>
            </w:r>
          </w:p>
        </w:tc>
        <w:tc>
          <w:tcPr>
            <w:tcW w:w="1238" w:type="dxa"/>
          </w:tcPr>
          <w:p w:rsidRPr="005B3FE2" w:rsidR="005B3FE2" w:rsidP="005B3FE2" w:rsidRDefault="00462D8F" w14:paraId="75EE07CD" w14:textId="6EE6E579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99.5</w:t>
            </w:r>
            <w:r w:rsidR="006E5694">
              <w:rPr>
                <w:spacing w:val="-2"/>
                <w:sz w:val="20"/>
                <w:szCs w:val="22"/>
              </w:rPr>
              <w:t>39</w:t>
            </w:r>
            <w:r w:rsidRPr="005B3FE2" w:rsidR="005B3FE2">
              <w:rPr>
                <w:spacing w:val="-2"/>
                <w:sz w:val="20"/>
                <w:szCs w:val="22"/>
              </w:rPr>
              <w:t>%</w:t>
            </w:r>
          </w:p>
        </w:tc>
        <w:tc>
          <w:tcPr>
            <w:tcW w:w="1237" w:type="dxa"/>
          </w:tcPr>
          <w:p w:rsidRPr="005B3FE2" w:rsidR="005B3FE2" w:rsidP="005B3FE2" w:rsidRDefault="00462D8F" w14:paraId="47AE43F9" w14:textId="5A228010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1,096,604</w:t>
            </w:r>
          </w:p>
        </w:tc>
        <w:tc>
          <w:tcPr>
            <w:tcW w:w="1238" w:type="dxa"/>
          </w:tcPr>
          <w:p w:rsidRPr="005B3FE2" w:rsidR="005B3FE2" w:rsidP="005B3FE2" w:rsidRDefault="00462D8F" w14:paraId="03729515" w14:textId="2AFE4287">
            <w:pPr>
              <w:pStyle w:val="BodyText"/>
              <w:spacing w:before="60" w:after="60"/>
              <w:jc w:val="center"/>
              <w:rPr>
                <w:spacing w:val="-2"/>
                <w:sz w:val="20"/>
                <w:szCs w:val="22"/>
              </w:rPr>
            </w:pPr>
            <w:r>
              <w:rPr>
                <w:spacing w:val="-2"/>
                <w:sz w:val="20"/>
                <w:szCs w:val="22"/>
              </w:rPr>
              <w:t>0.46</w:t>
            </w:r>
            <w:r w:rsidR="006E5694">
              <w:rPr>
                <w:spacing w:val="-2"/>
                <w:sz w:val="20"/>
                <w:szCs w:val="22"/>
              </w:rPr>
              <w:t>1</w:t>
            </w:r>
            <w:r w:rsidRPr="005B3FE2" w:rsidR="005B3FE2">
              <w:rPr>
                <w:spacing w:val="-2"/>
                <w:sz w:val="20"/>
                <w:szCs w:val="22"/>
              </w:rPr>
              <w:t>%</w:t>
            </w:r>
          </w:p>
        </w:tc>
        <w:tc>
          <w:tcPr>
            <w:tcW w:w="1795" w:type="dxa"/>
          </w:tcPr>
          <w:p w:rsidRPr="005B3FE2" w:rsidR="005B3FE2" w:rsidP="005B3FE2" w:rsidRDefault="005B3FE2" w14:paraId="5DCDF023" w14:textId="5B14C2FF">
            <w:pPr>
              <w:pStyle w:val="BodyText"/>
              <w:spacing w:before="60" w:after="60"/>
              <w:jc w:val="center"/>
              <w:rPr>
                <w:b/>
                <w:bCs/>
                <w:spacing w:val="-2"/>
                <w:sz w:val="20"/>
                <w:szCs w:val="22"/>
              </w:rPr>
            </w:pPr>
            <w:r w:rsidRPr="00093992">
              <w:rPr>
                <w:spacing w:val="-2"/>
                <w:sz w:val="20"/>
                <w:szCs w:val="22"/>
              </w:rPr>
              <w:t>Carried</w:t>
            </w:r>
          </w:p>
        </w:tc>
      </w:tr>
    </w:tbl>
    <w:p w:rsidRPr="005B3FE2" w:rsidR="005B3FE2" w:rsidP="005B3FE2" w:rsidRDefault="005B3FE2" w14:paraId="5220A1BF" w14:textId="1EA0F39D">
      <w:pPr>
        <w:pStyle w:val="BodyText"/>
        <w:spacing w:before="120" w:after="120"/>
        <w:rPr>
          <w:b/>
          <w:bCs/>
          <w:spacing w:val="-2"/>
          <w:sz w:val="16"/>
          <w:szCs w:val="16"/>
        </w:rPr>
      </w:pPr>
      <w:r w:rsidRPr="005B3FE2">
        <w:rPr>
          <w:b/>
          <w:bCs/>
          <w:spacing w:val="-2"/>
          <w:sz w:val="16"/>
          <w:szCs w:val="16"/>
          <w:u w:val="single"/>
        </w:rPr>
        <w:t>Notes</w:t>
      </w:r>
      <w:r w:rsidRPr="005B3FE2">
        <w:rPr>
          <w:b/>
          <w:bCs/>
          <w:spacing w:val="-2"/>
          <w:sz w:val="16"/>
          <w:szCs w:val="16"/>
        </w:rPr>
        <w:t>:</w:t>
      </w:r>
    </w:p>
    <w:p w:rsidRPr="005B3FE2" w:rsidR="005B3FE2" w:rsidP="005B3FE2" w:rsidRDefault="005B3FE2" w14:paraId="78798D76" w14:textId="438BBD39">
      <w:pPr>
        <w:pStyle w:val="BodyText"/>
        <w:tabs>
          <w:tab w:val="left" w:pos="450"/>
        </w:tabs>
        <w:spacing w:before="10"/>
        <w:rPr>
          <w:sz w:val="16"/>
          <w:szCs w:val="16"/>
        </w:rPr>
      </w:pPr>
      <w:r w:rsidRPr="005B3FE2">
        <w:rPr>
          <w:sz w:val="16"/>
          <w:szCs w:val="16"/>
        </w:rPr>
        <w:t>(1)</w:t>
      </w:r>
      <w:r w:rsidRPr="005B3FE2">
        <w:rPr>
          <w:sz w:val="16"/>
          <w:szCs w:val="16"/>
        </w:rPr>
        <w:tab/>
        <w:t>Excluding an aggregate of 3,752,646 common shares of Osisko held by Mr. Vizquerra-Benavides.</w:t>
      </w:r>
    </w:p>
    <w:sectPr w:rsidRPr="005B3FE2" w:rsidR="005B3FE2" w:rsidSect="005B3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30" w:right="1440" w:bottom="86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98A" w:rsidP="005B3FE2" w:rsidRDefault="00C5198A" w14:paraId="75B5F3B0" w14:textId="77777777">
      <w:r>
        <w:separator/>
      </w:r>
    </w:p>
  </w:endnote>
  <w:endnote w:type="continuationSeparator" w:id="0">
    <w:p w:rsidR="00C5198A" w:rsidP="005B3FE2" w:rsidRDefault="00C5198A" w14:paraId="5E1F4A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2D8F" w:rsidRDefault="00462D8F" w14:paraId="6DF7C1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877FC" w:rsidR="00D20CB9" w:rsidP="00D20CB9" w:rsidRDefault="000877FC" w14:paraId="6A34E3DF" w14:textId="77777777">
    <w:pPr>
      <w:pStyle w:val="Footer"/>
      <w:jc w:val="center"/>
      <w:rPr>
        <w:szCs w:val="22"/>
      </w:rPr>
    </w:pPr>
    <w:r w:rsidRPr="000877FC">
      <w:rPr>
        <w:szCs w:val="22"/>
      </w:rPr>
      <w:t>-</w:t>
    </w:r>
    <w:r w:rsidRPr="000877FC" w:rsidR="00D20CB9">
      <w:rPr>
        <w:szCs w:val="22"/>
      </w:rPr>
      <w:fldChar w:fldCharType="begin"/>
    </w:r>
    <w:r w:rsidRPr="000877FC" w:rsidR="00D20CB9">
      <w:rPr>
        <w:szCs w:val="22"/>
      </w:rPr>
      <w:instrText xml:space="preserve"> PAGE   \* MERGEFORMAT </w:instrText>
    </w:r>
    <w:r w:rsidRPr="000877FC" w:rsidR="00D20CB9">
      <w:rPr>
        <w:szCs w:val="22"/>
      </w:rPr>
      <w:fldChar w:fldCharType="separate"/>
    </w:r>
    <w:r w:rsidRPr="000877FC" w:rsidR="00D20CB9">
      <w:rPr>
        <w:noProof/>
        <w:szCs w:val="22"/>
      </w:rPr>
      <w:t>2</w:t>
    </w:r>
    <w:r w:rsidRPr="000877FC" w:rsidR="00D20CB9">
      <w:rPr>
        <w:szCs w:val="22"/>
      </w:rPr>
      <w:fldChar w:fldCharType="end"/>
    </w:r>
    <w:r w:rsidRPr="000877FC">
      <w:rPr>
        <w:szCs w:val="22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2D8F" w:rsidRDefault="00462D8F" w14:paraId="524FA4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98A" w:rsidP="005B3FE2" w:rsidRDefault="00C5198A" w14:paraId="79474848" w14:textId="77777777">
      <w:r>
        <w:separator/>
      </w:r>
    </w:p>
  </w:footnote>
  <w:footnote w:type="continuationSeparator" w:id="0">
    <w:p w:rsidR="00C5198A" w:rsidP="005B3FE2" w:rsidRDefault="00C5198A" w14:paraId="08FD86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2D8F" w:rsidRDefault="00462D8F" w14:paraId="4C66FD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2D8F" w:rsidRDefault="00462D8F" w14:paraId="56073B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2D8F" w:rsidRDefault="00462D8F" w14:paraId="113FA1D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322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023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2228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00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CC4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A8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A4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C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4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B552A"/>
    <w:multiLevelType w:val="multilevel"/>
    <w:tmpl w:val="F52A1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BB63DA8"/>
    <w:multiLevelType w:val="multilevel"/>
    <w:tmpl w:val="FAD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2954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100C1"/>
    <w:multiLevelType w:val="multilevel"/>
    <w:tmpl w:val="CFFA2972"/>
    <w:styleLink w:val="ArticleSection"/>
    <w:lvl w:ilvl="0">
      <w:start w:val="1"/>
      <w:numFmt w:val="upperRoman"/>
      <w:lvlText w:val="Article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3C1231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D73AD9"/>
    <w:multiLevelType w:val="multilevel"/>
    <w:tmpl w:val="B66611E0"/>
    <w:name w:val="zzmpStandard||Standard|2|1|1|1|12|32||1|12|32||1|12|32||1|12|32||1|12|32||1|12|32||1|12|32||1|12|32||1|12|32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EA3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2D3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3483647">
    <w:abstractNumId w:val="12"/>
  </w:num>
  <w:num w:numId="2" w16cid:durableId="944118793">
    <w:abstractNumId w:val="17"/>
  </w:num>
  <w:num w:numId="3" w16cid:durableId="576864127">
    <w:abstractNumId w:val="16"/>
  </w:num>
  <w:num w:numId="4" w16cid:durableId="1380395039">
    <w:abstractNumId w:val="13"/>
  </w:num>
  <w:num w:numId="5" w16cid:durableId="155268518">
    <w:abstractNumId w:val="14"/>
  </w:num>
  <w:num w:numId="6" w16cid:durableId="1665089305">
    <w:abstractNumId w:val="11"/>
  </w:num>
  <w:num w:numId="7" w16cid:durableId="1084035160">
    <w:abstractNumId w:val="18"/>
  </w:num>
  <w:num w:numId="8" w16cid:durableId="1827167851">
    <w:abstractNumId w:val="10"/>
  </w:num>
  <w:num w:numId="9" w16cid:durableId="1661301374">
    <w:abstractNumId w:val="9"/>
  </w:num>
  <w:num w:numId="10" w16cid:durableId="347877322">
    <w:abstractNumId w:val="7"/>
  </w:num>
  <w:num w:numId="11" w16cid:durableId="385104757">
    <w:abstractNumId w:val="6"/>
  </w:num>
  <w:num w:numId="12" w16cid:durableId="1699894040">
    <w:abstractNumId w:val="5"/>
  </w:num>
  <w:num w:numId="13" w16cid:durableId="431246538">
    <w:abstractNumId w:val="4"/>
  </w:num>
  <w:num w:numId="14" w16cid:durableId="10498633">
    <w:abstractNumId w:val="8"/>
  </w:num>
  <w:num w:numId="15" w16cid:durableId="584077434">
    <w:abstractNumId w:val="3"/>
  </w:num>
  <w:num w:numId="16" w16cid:durableId="153448827">
    <w:abstractNumId w:val="2"/>
  </w:num>
  <w:num w:numId="17" w16cid:durableId="195319171">
    <w:abstractNumId w:val="1"/>
  </w:num>
  <w:num w:numId="18" w16cid:durableId="442846213">
    <w:abstractNumId w:val="0"/>
  </w:num>
  <w:num w:numId="19" w16cid:durableId="442767740">
    <w:abstractNumId w:val="15"/>
  </w:num>
  <w:num w:numId="20" w16cid:durableId="1837457831">
    <w:abstractNumId w:val="15"/>
  </w:num>
  <w:num w:numId="21" w16cid:durableId="1022318179">
    <w:abstractNumId w:val="15"/>
  </w:num>
  <w:num w:numId="22" w16cid:durableId="1236477446">
    <w:abstractNumId w:val="15"/>
  </w:num>
  <w:num w:numId="23" w16cid:durableId="1790010288">
    <w:abstractNumId w:val="15"/>
  </w:num>
  <w:num w:numId="24" w16cid:durableId="46465193">
    <w:abstractNumId w:val="15"/>
  </w:num>
  <w:num w:numId="25" w16cid:durableId="1910118869">
    <w:abstractNumId w:val="15"/>
  </w:num>
  <w:num w:numId="26" w16cid:durableId="28918442">
    <w:abstractNumId w:val="15"/>
  </w:num>
  <w:num w:numId="27" w16cid:durableId="1922368652">
    <w:abstractNumId w:val="15"/>
  </w:num>
  <w:num w:numId="28" w16cid:durableId="1812743676">
    <w:abstractNumId w:val="15"/>
  </w:num>
  <w:num w:numId="29" w16cid:durableId="19857698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A6"/>
    <w:rsid w:val="00011386"/>
    <w:rsid w:val="00032F97"/>
    <w:rsid w:val="000860D3"/>
    <w:rsid w:val="000877FC"/>
    <w:rsid w:val="00093992"/>
    <w:rsid w:val="00095F01"/>
    <w:rsid w:val="001044F5"/>
    <w:rsid w:val="00140006"/>
    <w:rsid w:val="001C549E"/>
    <w:rsid w:val="001E36D7"/>
    <w:rsid w:val="002060F2"/>
    <w:rsid w:val="002369B7"/>
    <w:rsid w:val="0025058A"/>
    <w:rsid w:val="002A2E85"/>
    <w:rsid w:val="002A4164"/>
    <w:rsid w:val="002D4E5E"/>
    <w:rsid w:val="002F0F6C"/>
    <w:rsid w:val="002F3157"/>
    <w:rsid w:val="00342507"/>
    <w:rsid w:val="00343055"/>
    <w:rsid w:val="00353A26"/>
    <w:rsid w:val="003762D6"/>
    <w:rsid w:val="003968AF"/>
    <w:rsid w:val="003F492E"/>
    <w:rsid w:val="0041632F"/>
    <w:rsid w:val="00435048"/>
    <w:rsid w:val="00462D8F"/>
    <w:rsid w:val="00466EB8"/>
    <w:rsid w:val="0049457F"/>
    <w:rsid w:val="004A4AA7"/>
    <w:rsid w:val="004D4798"/>
    <w:rsid w:val="004D56C3"/>
    <w:rsid w:val="00535179"/>
    <w:rsid w:val="005B3FE2"/>
    <w:rsid w:val="005D0290"/>
    <w:rsid w:val="005D53F7"/>
    <w:rsid w:val="0061428C"/>
    <w:rsid w:val="00646DB4"/>
    <w:rsid w:val="00663393"/>
    <w:rsid w:val="00696DB3"/>
    <w:rsid w:val="006E5694"/>
    <w:rsid w:val="00713AF1"/>
    <w:rsid w:val="00731D0A"/>
    <w:rsid w:val="0074501A"/>
    <w:rsid w:val="00761553"/>
    <w:rsid w:val="0076632B"/>
    <w:rsid w:val="008243F3"/>
    <w:rsid w:val="00846EEA"/>
    <w:rsid w:val="00866CA6"/>
    <w:rsid w:val="008961E3"/>
    <w:rsid w:val="008E0C74"/>
    <w:rsid w:val="00920435"/>
    <w:rsid w:val="00941156"/>
    <w:rsid w:val="00942772"/>
    <w:rsid w:val="00963E7A"/>
    <w:rsid w:val="0097734F"/>
    <w:rsid w:val="00977D53"/>
    <w:rsid w:val="009803FF"/>
    <w:rsid w:val="009A1915"/>
    <w:rsid w:val="009E1339"/>
    <w:rsid w:val="009E706F"/>
    <w:rsid w:val="009F718A"/>
    <w:rsid w:val="00A5328E"/>
    <w:rsid w:val="00AD1EA6"/>
    <w:rsid w:val="00AF737C"/>
    <w:rsid w:val="00B06702"/>
    <w:rsid w:val="00B06B61"/>
    <w:rsid w:val="00B45BB4"/>
    <w:rsid w:val="00BF19F6"/>
    <w:rsid w:val="00C5198A"/>
    <w:rsid w:val="00C66411"/>
    <w:rsid w:val="00CD12FB"/>
    <w:rsid w:val="00D117DA"/>
    <w:rsid w:val="00D20CB9"/>
    <w:rsid w:val="00D7365E"/>
    <w:rsid w:val="00DF3E8C"/>
    <w:rsid w:val="00DF7745"/>
    <w:rsid w:val="00E11DE9"/>
    <w:rsid w:val="00E3591D"/>
    <w:rsid w:val="00E378C1"/>
    <w:rsid w:val="00E70C5A"/>
    <w:rsid w:val="00E718DC"/>
    <w:rsid w:val="00EF515A"/>
    <w:rsid w:val="00EF6F97"/>
    <w:rsid w:val="00F6595E"/>
    <w:rsid w:val="00F80411"/>
    <w:rsid w:val="00FA66FD"/>
    <w:rsid w:val="00FD6231"/>
    <w:rsid w:val="00FE0CC0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26384"/>
  <w15:docId w15:val="{11B1B047-4FCA-4B63-81B4-C5C2900E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48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spacing w:after="0"/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keepNext/>
      <w:spacing w:after="24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rPr>
      <w:rFonts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Pr>
      <w:rFonts w:eastAsiaTheme="majorEastAsia" w:cstheme="majorBidi"/>
      <w:b/>
      <w:bCs/>
      <w:caps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i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b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iCs/>
      <w:u w:val="single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iCs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72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72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Cs w:val="18"/>
    </w:rPr>
  </w:style>
  <w:style w:type="paragraph" w:styleId="Centered" w:customStyle="1">
    <w:name w:val="Centered"/>
    <w:basedOn w:val="Normal"/>
    <w:next w:val="BodyText"/>
    <w:uiPriority w:val="2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vSpace="187" w:hSpace="187" w:wrap="around" w:hAnchor="page" w:vAnchor="page" w:x="6481" w:y="3068" w:hRule="exact"/>
    </w:pPr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</w:style>
  <w:style w:type="paragraph" w:styleId="DeliveryPhrase" w:customStyle="1">
    <w:name w:val="Delivery Phrase"/>
    <w:basedOn w:val="Normal"/>
    <w:next w:val="BodyText"/>
    <w:uiPriority w:val="3"/>
    <w:qFormat/>
    <w:pPr>
      <w:spacing w:before="240" w:after="240"/>
    </w:pPr>
    <w:rPr>
      <w:b/>
      <w:caps/>
    </w:rPr>
  </w:style>
  <w:style w:type="character" w:styleId="FooterChar" w:customStyle="1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16"/>
      <w:szCs w:val="20"/>
    </w:rPr>
  </w:style>
  <w:style w:type="paragraph" w:styleId="LetterDate" w:customStyle="1">
    <w:name w:val="Letter Date"/>
    <w:basedOn w:val="Normal"/>
    <w:next w:val="BodyText"/>
    <w:uiPriority w:val="11"/>
    <w:qFormat/>
  </w:style>
  <w:style w:type="paragraph" w:styleId="LetterClosing" w:customStyle="1">
    <w:name w:val="LetterClosing"/>
    <w:basedOn w:val="Normal"/>
    <w:next w:val="Normal"/>
    <w:uiPriority w:val="11"/>
    <w:qFormat/>
  </w:style>
  <w:style w:type="paragraph" w:styleId="HeaderNumbers" w:customStyle="1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styleId="HeaderNumbersChar" w:customStyle="1">
    <w:name w:val="HeaderNumbers Char"/>
    <w:basedOn w:val="DefaultParagraphFont"/>
    <w:link w:val="HeaderNumbers"/>
    <w:uiPriority w:val="10"/>
    <w:semiHidden/>
  </w:style>
  <w:style w:type="paragraph" w:styleId="PleadingSignature" w:customStyle="1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</w:rPr>
  </w:style>
  <w:style w:type="character" w:styleId="QuoteChar" w:customStyle="1">
    <w:name w:val="Quote Char"/>
    <w:basedOn w:val="DefaultParagraphFont"/>
    <w:link w:val="Quote"/>
    <w:uiPriority w:val="13"/>
    <w:rPr>
      <w:iCs/>
    </w:r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pos="9288"/>
      </w:tabs>
      <w:ind w:left="720" w:right="720" w:hanging="720"/>
      <w:jc w:val="center"/>
    </w:pPr>
    <w:rPr>
      <w:b/>
      <w:caps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uiPriority w:val="39"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uiPriority w:val="39"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uiPriority w:val="39"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uiPriority w:val="39"/>
    <w:semiHidden/>
    <w:unhideWhenUsed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uiPriority w:val="39"/>
    <w:semiHidden/>
    <w:unhideWhenUsed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uiPriority w:val="39"/>
    <w:semiHidden/>
    <w:unhideWhenUsed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pPr>
      <w:keepLines/>
      <w:ind w:left="6480" w:right="720" w:hanging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pPr>
      <w:spacing w:after="240" w:line="480" w:lineRule="auto"/>
    </w:pPr>
    <w:rPr>
      <w:rFonts w:eastAsia="Times New Roman" w:cs="Times New Roman"/>
    </w:rPr>
  </w:style>
  <w:style w:type="character" w:styleId="BodyText2Char" w:customStyle="1">
    <w:name w:val="Body Text 2 Char"/>
    <w:basedOn w:val="DefaultParagraphFont"/>
    <w:link w:val="BodyText2"/>
    <w:semiHidden/>
    <w:rPr>
      <w:rFonts w:eastAsia="Times New Roman" w:cs="Times New Roman"/>
    </w:rPr>
  </w:style>
  <w:style w:type="paragraph" w:styleId="BodyText3">
    <w:name w:val="Body Text 3"/>
    <w:basedOn w:val="Normal"/>
    <w:link w:val="BodyText3Char"/>
    <w:semiHidden/>
    <w:pPr>
      <w:spacing w:after="240"/>
    </w:pPr>
    <w:rPr>
      <w:rFonts w:eastAsia="Times New Roman" w:cs="Times New Roman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Pr>
      <w:rFonts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spacing w:after="240" w:line="480" w:lineRule="auto"/>
      <w:ind w:left="720"/>
    </w:pPr>
    <w:rPr>
      <w:rFonts w:eastAsia="Times New Roman" w:cs="Times New Roman"/>
    </w:rPr>
  </w:style>
  <w:style w:type="character" w:styleId="BodyTextIndent2Char" w:customStyle="1">
    <w:name w:val="Body Text Indent 2 Char"/>
    <w:basedOn w:val="DefaultParagraphFont"/>
    <w:link w:val="BodyTextIndent2"/>
    <w:semiHidden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semiHidden/>
    <w:pPr>
      <w:spacing w:after="240"/>
      <w:ind w:left="720"/>
    </w:pPr>
    <w:rPr>
      <w:rFonts w:eastAsia="Times New Roman" w:cs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Pr>
      <w:rFonts w:eastAsia="Times New Roman" w:cs="Times New Roman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cPacTrailer" w:customStyle="1">
    <w:name w:val="MacPac Trailer"/>
    <w:rsid w:val="00535179"/>
    <w:pPr>
      <w:widowControl w:val="0"/>
      <w:spacing w:after="0" w:line="200" w:lineRule="exact"/>
    </w:pPr>
    <w:rPr>
      <w:rFonts w:eastAsia="Times New Roman" w:cs="Times New Roman"/>
      <w:sz w:val="16"/>
      <w:szCs w:val="22"/>
    </w:rPr>
  </w:style>
  <w:style w:type="paragraph" w:styleId="StandardCont1" w:customStyle="1">
    <w:name w:val="Standard Cont 1"/>
    <w:basedOn w:val="Normal"/>
    <w:link w:val="StandardCont1Char"/>
    <w:pPr>
      <w:spacing w:after="240"/>
      <w:ind w:left="720"/>
    </w:pPr>
    <w:rPr>
      <w:rFonts w:eastAsia="Times New Roman" w:cs="Times New Roman"/>
      <w:szCs w:val="20"/>
    </w:rPr>
  </w:style>
  <w:style w:type="character" w:styleId="StandardCont1Char" w:customStyle="1">
    <w:name w:val="Standard Cont 1 Char"/>
    <w:basedOn w:val="BodyTextChar"/>
    <w:link w:val="StandardCont1"/>
    <w:rPr>
      <w:rFonts w:eastAsia="Times New Roman" w:cs="Times New Roman"/>
      <w:sz w:val="22"/>
      <w:szCs w:val="20"/>
    </w:rPr>
  </w:style>
  <w:style w:type="paragraph" w:styleId="StandardCont2" w:customStyle="1">
    <w:name w:val="Standard Cont 2"/>
    <w:basedOn w:val="StandardCont1"/>
    <w:link w:val="StandardCont2Char"/>
    <w:pPr>
      <w:ind w:left="1440"/>
    </w:pPr>
  </w:style>
  <w:style w:type="character" w:styleId="StandardCont2Char" w:customStyle="1">
    <w:name w:val="Standard Cont 2 Char"/>
    <w:basedOn w:val="BodyTextChar"/>
    <w:link w:val="StandardCont2"/>
    <w:rPr>
      <w:rFonts w:eastAsia="Times New Roman" w:cs="Times New Roman"/>
      <w:sz w:val="22"/>
      <w:szCs w:val="20"/>
    </w:rPr>
  </w:style>
  <w:style w:type="paragraph" w:styleId="StandardCont3" w:customStyle="1">
    <w:name w:val="Standard Cont 3"/>
    <w:basedOn w:val="StandardCont2"/>
    <w:link w:val="StandardCont3Char"/>
    <w:pPr>
      <w:ind w:left="2160"/>
    </w:pPr>
  </w:style>
  <w:style w:type="character" w:styleId="StandardCont3Char" w:customStyle="1">
    <w:name w:val="Standard Cont 3 Char"/>
    <w:basedOn w:val="BodyTextChar"/>
    <w:link w:val="StandardCont3"/>
    <w:rPr>
      <w:rFonts w:eastAsia="Times New Roman" w:cs="Times New Roman"/>
      <w:sz w:val="22"/>
      <w:szCs w:val="20"/>
    </w:rPr>
  </w:style>
  <w:style w:type="paragraph" w:styleId="StandardCont4" w:customStyle="1">
    <w:name w:val="Standard Cont 4"/>
    <w:basedOn w:val="StandardCont3"/>
    <w:link w:val="StandardCont4Char"/>
    <w:pPr>
      <w:ind w:left="2880"/>
    </w:pPr>
  </w:style>
  <w:style w:type="character" w:styleId="StandardCont4Char" w:customStyle="1">
    <w:name w:val="Standard Cont 4 Char"/>
    <w:basedOn w:val="BodyTextChar"/>
    <w:link w:val="StandardCont4"/>
    <w:rPr>
      <w:rFonts w:eastAsia="Times New Roman" w:cs="Times New Roman"/>
      <w:sz w:val="22"/>
      <w:szCs w:val="20"/>
    </w:rPr>
  </w:style>
  <w:style w:type="paragraph" w:styleId="StandardCont5" w:customStyle="1">
    <w:name w:val="Standard Cont 5"/>
    <w:basedOn w:val="StandardCont4"/>
    <w:link w:val="StandardCont5Char"/>
    <w:pPr>
      <w:ind w:left="3600"/>
    </w:pPr>
  </w:style>
  <w:style w:type="character" w:styleId="StandardCont5Char" w:customStyle="1">
    <w:name w:val="Standard Cont 5 Char"/>
    <w:basedOn w:val="BodyTextChar"/>
    <w:link w:val="StandardCont5"/>
    <w:rPr>
      <w:rFonts w:eastAsia="Times New Roman" w:cs="Times New Roman"/>
      <w:sz w:val="22"/>
      <w:szCs w:val="20"/>
    </w:rPr>
  </w:style>
  <w:style w:type="paragraph" w:styleId="StandardCont6" w:customStyle="1">
    <w:name w:val="Standard Cont 6"/>
    <w:basedOn w:val="StandardCont5"/>
    <w:link w:val="StandardCont6Char"/>
    <w:pPr>
      <w:ind w:left="4320"/>
    </w:pPr>
  </w:style>
  <w:style w:type="character" w:styleId="StandardCont6Char" w:customStyle="1">
    <w:name w:val="Standard Cont 6 Char"/>
    <w:basedOn w:val="BodyTextChar"/>
    <w:link w:val="StandardCont6"/>
    <w:rPr>
      <w:rFonts w:eastAsia="Times New Roman" w:cs="Times New Roman"/>
      <w:sz w:val="22"/>
      <w:szCs w:val="20"/>
    </w:rPr>
  </w:style>
  <w:style w:type="paragraph" w:styleId="StandardCont7" w:customStyle="1">
    <w:name w:val="Standard Cont 7"/>
    <w:basedOn w:val="StandardCont6"/>
    <w:link w:val="StandardCont7Char"/>
    <w:pPr>
      <w:ind w:left="5040"/>
    </w:pPr>
  </w:style>
  <w:style w:type="character" w:styleId="StandardCont7Char" w:customStyle="1">
    <w:name w:val="Standard Cont 7 Char"/>
    <w:basedOn w:val="BodyTextChar"/>
    <w:link w:val="StandardCont7"/>
    <w:rPr>
      <w:rFonts w:eastAsia="Times New Roman" w:cs="Times New Roman"/>
      <w:sz w:val="22"/>
      <w:szCs w:val="20"/>
    </w:rPr>
  </w:style>
  <w:style w:type="paragraph" w:styleId="StandardCont8" w:customStyle="1">
    <w:name w:val="Standard Cont 8"/>
    <w:basedOn w:val="StandardCont7"/>
    <w:link w:val="StandardCont8Char"/>
    <w:pPr>
      <w:ind w:left="5760"/>
    </w:pPr>
  </w:style>
  <w:style w:type="character" w:styleId="StandardCont8Char" w:customStyle="1">
    <w:name w:val="Standard Cont 8 Char"/>
    <w:basedOn w:val="BodyTextChar"/>
    <w:link w:val="StandardCont8"/>
    <w:rPr>
      <w:rFonts w:eastAsia="Times New Roman" w:cs="Times New Roman"/>
      <w:sz w:val="22"/>
      <w:szCs w:val="20"/>
    </w:rPr>
  </w:style>
  <w:style w:type="paragraph" w:styleId="StandardCont9" w:customStyle="1">
    <w:name w:val="Standard Cont 9"/>
    <w:basedOn w:val="StandardCont8"/>
    <w:link w:val="StandardCont9Char"/>
    <w:pPr>
      <w:ind w:left="6480"/>
    </w:pPr>
  </w:style>
  <w:style w:type="character" w:styleId="StandardCont9Char" w:customStyle="1">
    <w:name w:val="Standard Cont 9 Char"/>
    <w:basedOn w:val="BodyTextChar"/>
    <w:link w:val="StandardCont9"/>
    <w:rPr>
      <w:rFonts w:eastAsia="Times New Roman" w:cs="Times New Roman"/>
      <w:sz w:val="22"/>
      <w:szCs w:val="20"/>
    </w:rPr>
  </w:style>
  <w:style w:type="paragraph" w:styleId="StandardL1" w:customStyle="1">
    <w:name w:val="Standard_L1"/>
    <w:basedOn w:val="Normal"/>
    <w:link w:val="StandardL1Char"/>
    <w:pPr>
      <w:numPr>
        <w:numId w:val="19"/>
      </w:numPr>
      <w:jc w:val="left"/>
      <w:outlineLvl w:val="0"/>
    </w:pPr>
    <w:rPr>
      <w:rFonts w:eastAsia="Times New Roman" w:cs="Times New Roman"/>
      <w:szCs w:val="20"/>
    </w:rPr>
  </w:style>
  <w:style w:type="character" w:styleId="StandardL1Char" w:customStyle="1">
    <w:name w:val="Standard_L1 Char"/>
    <w:basedOn w:val="BodyTextChar"/>
    <w:link w:val="StandardL1"/>
    <w:rPr>
      <w:rFonts w:eastAsia="Times New Roman" w:cs="Times New Roman"/>
      <w:sz w:val="20"/>
      <w:szCs w:val="20"/>
    </w:rPr>
  </w:style>
  <w:style w:type="paragraph" w:styleId="StandardL2" w:customStyle="1">
    <w:name w:val="Standard_L2"/>
    <w:basedOn w:val="StandardL1"/>
    <w:link w:val="StandardL2Char"/>
    <w:pPr>
      <w:numPr>
        <w:ilvl w:val="1"/>
        <w:numId w:val="0"/>
      </w:numPr>
      <w:outlineLvl w:val="1"/>
    </w:pPr>
  </w:style>
  <w:style w:type="character" w:styleId="StandardL2Char" w:customStyle="1">
    <w:name w:val="Standard_L2 Char"/>
    <w:basedOn w:val="BodyTextChar"/>
    <w:link w:val="StandardL2"/>
    <w:rPr>
      <w:rFonts w:eastAsia="Times New Roman" w:cs="Times New Roman"/>
      <w:sz w:val="20"/>
      <w:szCs w:val="20"/>
    </w:rPr>
  </w:style>
  <w:style w:type="paragraph" w:styleId="StandardL3" w:customStyle="1">
    <w:name w:val="Standard_L3"/>
    <w:basedOn w:val="StandardL2"/>
    <w:link w:val="StandardL3Char"/>
    <w:pPr>
      <w:numPr>
        <w:ilvl w:val="2"/>
      </w:numPr>
      <w:outlineLvl w:val="2"/>
    </w:pPr>
  </w:style>
  <w:style w:type="character" w:styleId="StandardL3Char" w:customStyle="1">
    <w:name w:val="Standard_L3 Char"/>
    <w:basedOn w:val="BodyTextChar"/>
    <w:link w:val="StandardL3"/>
    <w:rPr>
      <w:rFonts w:eastAsia="Times New Roman" w:cs="Times New Roman"/>
      <w:sz w:val="20"/>
      <w:szCs w:val="20"/>
    </w:rPr>
  </w:style>
  <w:style w:type="paragraph" w:styleId="StandardL4" w:customStyle="1">
    <w:name w:val="Standard_L4"/>
    <w:basedOn w:val="StandardL3"/>
    <w:link w:val="StandardL4Char"/>
    <w:pPr>
      <w:numPr>
        <w:ilvl w:val="3"/>
      </w:numPr>
      <w:spacing w:after="240"/>
      <w:jc w:val="both"/>
      <w:outlineLvl w:val="3"/>
    </w:pPr>
  </w:style>
  <w:style w:type="character" w:styleId="StandardL4Char" w:customStyle="1">
    <w:name w:val="Standard_L4 Char"/>
    <w:basedOn w:val="BodyTextChar"/>
    <w:link w:val="StandardL4"/>
    <w:rPr>
      <w:rFonts w:eastAsia="Times New Roman" w:cs="Times New Roman"/>
      <w:sz w:val="22"/>
      <w:szCs w:val="20"/>
    </w:rPr>
  </w:style>
  <w:style w:type="paragraph" w:styleId="StandardL5" w:customStyle="1">
    <w:name w:val="Standard_L5"/>
    <w:basedOn w:val="StandardL4"/>
    <w:link w:val="StandardL5Char"/>
    <w:pPr>
      <w:numPr>
        <w:ilvl w:val="4"/>
      </w:numPr>
      <w:outlineLvl w:val="4"/>
    </w:pPr>
  </w:style>
  <w:style w:type="character" w:styleId="StandardL5Char" w:customStyle="1">
    <w:name w:val="Standard_L5 Char"/>
    <w:basedOn w:val="BodyTextChar"/>
    <w:link w:val="StandardL5"/>
    <w:rPr>
      <w:rFonts w:eastAsia="Times New Roman" w:cs="Times New Roman"/>
      <w:sz w:val="22"/>
      <w:szCs w:val="20"/>
    </w:rPr>
  </w:style>
  <w:style w:type="paragraph" w:styleId="StandardL6" w:customStyle="1">
    <w:name w:val="Standard_L6"/>
    <w:basedOn w:val="StandardL5"/>
    <w:link w:val="StandardL6Char"/>
    <w:pPr>
      <w:numPr>
        <w:ilvl w:val="5"/>
      </w:numPr>
      <w:outlineLvl w:val="5"/>
    </w:pPr>
  </w:style>
  <w:style w:type="character" w:styleId="StandardL6Char" w:customStyle="1">
    <w:name w:val="Standard_L6 Char"/>
    <w:basedOn w:val="BodyTextChar"/>
    <w:link w:val="StandardL6"/>
    <w:rPr>
      <w:rFonts w:eastAsia="Times New Roman" w:cs="Times New Roman"/>
      <w:sz w:val="22"/>
      <w:szCs w:val="20"/>
    </w:rPr>
  </w:style>
  <w:style w:type="paragraph" w:styleId="StandardL7" w:customStyle="1">
    <w:name w:val="Standard_L7"/>
    <w:basedOn w:val="StandardL6"/>
    <w:link w:val="StandardL7Char"/>
    <w:pPr>
      <w:numPr>
        <w:ilvl w:val="6"/>
      </w:numPr>
      <w:outlineLvl w:val="6"/>
    </w:pPr>
  </w:style>
  <w:style w:type="character" w:styleId="StandardL7Char" w:customStyle="1">
    <w:name w:val="Standard_L7 Char"/>
    <w:basedOn w:val="BodyTextChar"/>
    <w:link w:val="StandardL7"/>
    <w:rPr>
      <w:rFonts w:eastAsia="Times New Roman" w:cs="Times New Roman"/>
      <w:sz w:val="22"/>
      <w:szCs w:val="20"/>
    </w:rPr>
  </w:style>
  <w:style w:type="paragraph" w:styleId="StandardL8" w:customStyle="1">
    <w:name w:val="Standard_L8"/>
    <w:basedOn w:val="StandardL7"/>
    <w:link w:val="StandardL8Char"/>
    <w:pPr>
      <w:numPr>
        <w:ilvl w:val="7"/>
      </w:numPr>
      <w:outlineLvl w:val="7"/>
    </w:pPr>
  </w:style>
  <w:style w:type="character" w:styleId="StandardL8Char" w:customStyle="1">
    <w:name w:val="Standard_L8 Char"/>
    <w:basedOn w:val="BodyTextChar"/>
    <w:link w:val="StandardL8"/>
    <w:rPr>
      <w:rFonts w:eastAsia="Times New Roman" w:cs="Times New Roman"/>
      <w:sz w:val="22"/>
      <w:szCs w:val="20"/>
    </w:rPr>
  </w:style>
  <w:style w:type="paragraph" w:styleId="StandardL9" w:customStyle="1">
    <w:name w:val="Standard_L9"/>
    <w:basedOn w:val="StandardL8"/>
    <w:link w:val="StandardL9Char"/>
    <w:pPr>
      <w:numPr>
        <w:ilvl w:val="8"/>
      </w:numPr>
      <w:outlineLvl w:val="8"/>
    </w:pPr>
  </w:style>
  <w:style w:type="character" w:styleId="StandardL9Char" w:customStyle="1">
    <w:name w:val="Standard_L9 Char"/>
    <w:basedOn w:val="BodyTextChar"/>
    <w:link w:val="StandardL9"/>
    <w:rPr>
      <w:rFonts w:eastAsia="Times New Roman" w:cs="Times New Roman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ableParagraph" w:customStyle="1">
    <w:name w:val="Table Paragraph"/>
    <w:basedOn w:val="Normal"/>
    <w:uiPriority w:val="1"/>
    <w:qFormat/>
    <w:rsid w:val="00F6595E"/>
    <w:pPr>
      <w:widowControl w:val="0"/>
      <w:autoSpaceDE w:val="0"/>
      <w:autoSpaceDN w:val="0"/>
      <w:spacing w:before="121"/>
      <w:jc w:val="left"/>
    </w:pPr>
    <w:rPr>
      <w:rFonts w:ascii="Calibri" w:hAnsi="Calibri" w:eastAsia="Calibri" w:cs="Calibri"/>
      <w:szCs w:val="22"/>
    </w:rPr>
  </w:style>
  <w:style w:type="paragraph" w:styleId="Revision">
    <w:name w:val="Revision"/>
    <w:hidden/>
    <w:uiPriority w:val="99"/>
    <w:semiHidden/>
    <w:rsid w:val="00EF515A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<?xml version="1.0" encoding="utf-8"?>
<properties xmlns="http://www.imanage.com/work/xmlschema">
  <documentid>WSLegal!39239888.2</documentid>
  <senderid>MACDONALDMA</senderid>
  <senderemail>MACDONALDMA@BENNETTJONES.COM</senderemail>
  <lastmodified>2024-10-17T12:25:00.0000000-04:00</lastmodified>
  <database>WSLegal</database>
</properties>
</file>

<file path=docProps/app.xml><?xml version="1.0" encoding="utf-8"?>
<ap:Properties xmlns:vt="http://schemas.openxmlformats.org/officeDocument/2006/docPropsVTypes" xmlns:ap="http://schemas.openxmlformats.org/officeDocument/2006/extended-properties">
  <ap:Company> 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